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41CA">
        <w:rPr>
          <w:rFonts w:ascii="Times New Roman" w:hAnsi="Times New Roman"/>
          <w:b/>
          <w:sz w:val="24"/>
          <w:szCs w:val="24"/>
        </w:rPr>
        <w:t xml:space="preserve">Форма 1.8. Информация об основных показателях финансово-хозяйственной </w:t>
      </w:r>
    </w:p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41CA">
        <w:rPr>
          <w:rFonts w:ascii="Times New Roman" w:hAnsi="Times New Roman"/>
          <w:b/>
          <w:sz w:val="24"/>
          <w:szCs w:val="24"/>
        </w:rPr>
        <w:t>деятельности регулируемой организации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4"/>
        <w:gridCol w:w="2268"/>
      </w:tblGrid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Информацию, подлежащая раскрытию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28793,98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60034,7</w:t>
            </w:r>
          </w:p>
        </w:tc>
      </w:tr>
      <w:tr w:rsidR="002441CA" w:rsidRPr="002441CA" w:rsidTr="00081FE8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расходы   на   покупаемую   тепловую   энергию (мощность), 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12276,7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 на  топливо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-------</w:t>
            </w:r>
          </w:p>
        </w:tc>
      </w:tr>
      <w:tr w:rsidR="002441CA" w:rsidRPr="002441CA" w:rsidTr="00081FE8">
        <w:trPr>
          <w:trHeight w:val="8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33169,1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  на   приобретение холодной воды, используемой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37,7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на химические реагенты, используемые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-------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7140,98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4776,8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на амортизацию основных производственных средств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244,8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на аренду имущества (лизинг) используемого   для осуществления регулируемого вида деятельности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-------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общепроизводственные  расходы,  в   том   числе отнесенные к ним расходы на текущий и капитальный ремонт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1741,7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2.11. общехозяйственные расходы, в том  числе  отнесенные к ним расходы на текущий и капитальный ремонт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646,2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(в том  числе  информация об объемах товаров и услуг, их стоимости и способах</w:t>
            </w:r>
          </w:p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приобретения)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lastRenderedPageBreak/>
              <w:t>------</w:t>
            </w:r>
          </w:p>
        </w:tc>
      </w:tr>
      <w:tr w:rsidR="002441CA" w:rsidRPr="002441CA" w:rsidTr="00081FE8">
        <w:trPr>
          <w:trHeight w:val="3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прочие расходы, которые отнесены на регулируемые виды  деятельности,  в  соответствии   с   </w:t>
            </w:r>
            <w:hyperlink r:id="rId4" w:history="1">
              <w:r w:rsidRPr="002441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Основами</w:t>
              </w:r>
            </w:hyperlink>
            <w:r w:rsidRPr="002441CA">
              <w:rPr>
                <w:rFonts w:ascii="Times New Roman" w:hAnsi="Times New Roman"/>
                <w:sz w:val="24"/>
                <w:szCs w:val="24"/>
              </w:rPr>
              <w:t xml:space="preserve"> ценообразования    в    сфере   теплоснабжения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- 17057,7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-----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- 31240,72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Годовая   бухгалтерская   отчетность,   включая бухгалтерский   баланс   и   приложения   к    нему (раскрывается регулируемой организацией, выручка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Опубликована на официальном сайте МУП «Кильдинстрой»: мупкильдинстрой.рф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Зверосовхоз-9,1 Гкал/ч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Кильдинстрой-0,825 Гкал/ч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Зверосовхоз-4,487 Гкал/ч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Кильдинстрой-0,544 Гкал/ч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об объеме вырабатываемой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Зверосовхоз-4,428 тыс.Гкал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Кильдинстрой-0,668 тыс.Гкал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Сведения об объеме приобретаемой регулируемой организацией тепловой энергии в рамках осуществления регулируемых видов деятельности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Зверосовхоз-4,680 тыс.Гкал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Кильдинстрой-0,765тыс.Гкал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 и расчетным путем (нормативам потребления коммунальных услуг)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Зверосовхоз-3,189 тыс.Гкал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Кильдинстрой-0,416 тыс.Гкал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О нормативах технологических потерь при передаче тепловой </w:t>
            </w: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энергии, теплоносителя по тепловым сетям, утвержденных уполномоченным органом (Ккал/ч.мес.)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lastRenderedPageBreak/>
              <w:t>Зверосовхоз-</w:t>
            </w:r>
            <w:r w:rsidRPr="002441CA">
              <w:rPr>
                <w:rFonts w:ascii="Courier New" w:hAnsi="Courier New" w:cs="Courier New"/>
                <w:sz w:val="24"/>
                <w:szCs w:val="24"/>
              </w:rPr>
              <w:lastRenderedPageBreak/>
              <w:t>43Ккал/ч.мес.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О фактическом объеме потерь при передаче тепловой энергии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Зверосовхоз-0,206 тыс.Гкал</w:t>
            </w:r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</w:p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441CA">
              <w:rPr>
                <w:rFonts w:ascii="Courier New" w:hAnsi="Courier New" w:cs="Courier New"/>
                <w:sz w:val="24"/>
                <w:szCs w:val="24"/>
              </w:rPr>
              <w:t>Кильдинстрой-0,272 тыс.Гкал</w:t>
            </w: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 xml:space="preserve">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41CA" w:rsidRPr="002441CA" w:rsidTr="00081FE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41CA">
              <w:rPr>
                <w:rFonts w:ascii="Times New Roman" w:hAnsi="Times New Roman"/>
                <w:sz w:val="24"/>
                <w:szCs w:val="24"/>
              </w:rPr>
              <w:t>Сведения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1CA">
        <w:rPr>
          <w:rFonts w:ascii="Times New Roman" w:hAnsi="Times New Roman"/>
          <w:b/>
          <w:sz w:val="24"/>
          <w:szCs w:val="24"/>
        </w:rPr>
        <w:t>Информация о расходах на топливо</w:t>
      </w:r>
    </w:p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850"/>
        <w:gridCol w:w="1134"/>
        <w:gridCol w:w="992"/>
        <w:gridCol w:w="729"/>
        <w:gridCol w:w="1080"/>
      </w:tblGrid>
      <w:tr w:rsidR="002441CA" w:rsidRPr="002441CA" w:rsidTr="00081FE8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A" w:rsidRPr="002441CA" w:rsidRDefault="002441CA" w:rsidP="0008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A" w:rsidRPr="002441CA" w:rsidRDefault="002441CA" w:rsidP="0008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Объем  топлива</w:t>
            </w:r>
            <w:r w:rsidRPr="00244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(т, тыс. м3,кВ.ч)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A" w:rsidRPr="002441CA" w:rsidRDefault="002441CA" w:rsidP="0008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Цена топлива (руб./т, </w:t>
            </w:r>
            <w:r w:rsidRPr="002441CA">
              <w:rPr>
                <w:rFonts w:ascii="Times New Roman" w:hAnsi="Times New Roman" w:cs="Times New Roman"/>
                <w:sz w:val="24"/>
                <w:szCs w:val="24"/>
              </w:rPr>
              <w:br/>
              <w:t>руб./   за кВ.ч)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A" w:rsidRPr="002441CA" w:rsidRDefault="002441CA" w:rsidP="0008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Расходы  на топливо(тыс.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A" w:rsidRPr="002441CA" w:rsidRDefault="002441CA" w:rsidP="0008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2441CA">
              <w:rPr>
                <w:rFonts w:ascii="Times New Roman" w:hAnsi="Times New Roman" w:cs="Times New Roman"/>
                <w:sz w:val="24"/>
                <w:szCs w:val="24"/>
              </w:rPr>
              <w:br/>
              <w:t>приобре-</w:t>
            </w:r>
            <w:r w:rsidRPr="002441CA">
              <w:rPr>
                <w:rFonts w:ascii="Times New Roman" w:hAnsi="Times New Roman" w:cs="Times New Roman"/>
                <w:sz w:val="24"/>
                <w:szCs w:val="24"/>
              </w:rPr>
              <w:br/>
              <w:t>тения</w:t>
            </w: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В т.ч. доставка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В т.ч. доставка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Уголь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Газ сжиженный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Мазут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Дрова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Пилеты (топливные гранулы)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Опилки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Торф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2441CA" w:rsidTr="002441CA">
        <w:trPr>
          <w:trHeight w:val="2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15992322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61922,6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</w:tr>
      <w:tr w:rsidR="002441CA" w:rsidRPr="002441CA" w:rsidTr="002441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C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топливо всего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A" w:rsidRPr="002441CA" w:rsidRDefault="002441CA" w:rsidP="0008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6F6BD3" w:rsidRPr="002441CA" w:rsidRDefault="006F6BD3">
      <w:pPr>
        <w:rPr>
          <w:sz w:val="24"/>
          <w:szCs w:val="24"/>
        </w:rPr>
      </w:pPr>
    </w:p>
    <w:sectPr w:rsidR="006F6BD3" w:rsidRPr="002441CA" w:rsidSect="006F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41CA"/>
    <w:rsid w:val="002441CA"/>
    <w:rsid w:val="006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A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41CA"/>
    <w:pPr>
      <w:ind w:left="720"/>
      <w:contextualSpacing/>
    </w:pPr>
  </w:style>
  <w:style w:type="paragraph" w:customStyle="1" w:styleId="ConsPlusCell">
    <w:name w:val="ConsPlusCell"/>
    <w:uiPriority w:val="99"/>
    <w:rsid w:val="00244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4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31A3DEC5314A558F7E490ECCE68330A6930CB12264C0D67D1A1A3C6C5AE92099441A91C1C7A89CjB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2016-04-22T05:40:00Z</dcterms:created>
  <dcterms:modified xsi:type="dcterms:W3CDTF">2016-04-22T05:46:00Z</dcterms:modified>
</cp:coreProperties>
</file>